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36" w:rsidRDefault="00B86036" w:rsidP="00B86036">
      <w:pPr>
        <w:pStyle w:val="Zkladntext"/>
        <w:jc w:val="center"/>
        <w:rPr>
          <w:rFonts w:ascii="Tele-GroteskEEBlack" w:hAnsi="Tele-GroteskEEBlack" w:cs="Tahoma"/>
          <w:sz w:val="20"/>
          <w:szCs w:val="20"/>
        </w:rPr>
      </w:pPr>
      <w:r>
        <w:rPr>
          <w:rFonts w:ascii="Tele-GroteskEEBlack" w:hAnsi="Tele-GroteskEEBlack" w:cs="Tahoma"/>
          <w:sz w:val="20"/>
          <w:szCs w:val="20"/>
        </w:rPr>
        <w:t>Dohoda o koordinácii postupu pre zaistenie bezpečnosti a ochrany zdravia pri práci</w:t>
      </w:r>
    </w:p>
    <w:p w:rsidR="00B86036" w:rsidRDefault="00B86036" w:rsidP="00B86036">
      <w:pPr>
        <w:pStyle w:val="Zkladntext"/>
        <w:jc w:val="center"/>
        <w:rPr>
          <w:rFonts w:ascii="Tele-GroteskEEBlack" w:hAnsi="Tele-GroteskEEBlack" w:cs="Tahoma"/>
          <w:sz w:val="20"/>
          <w:szCs w:val="20"/>
        </w:rPr>
      </w:pPr>
    </w:p>
    <w:p w:rsidR="00B86036" w:rsidRDefault="00B86036" w:rsidP="00B86036">
      <w:pPr>
        <w:pStyle w:val="Zkladntext"/>
        <w:spacing w:before="120"/>
        <w:rPr>
          <w:rFonts w:ascii="Tele-GroteskEERegular" w:hAnsi="Tele-GroteskEERegular" w:cs="Tahoma"/>
          <w:bCs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medzi ST </w:t>
      </w:r>
      <w:r>
        <w:rPr>
          <w:rFonts w:ascii="Tele-GroteskEERegular" w:hAnsi="Tele-GroteskEERegular" w:cs="Tahoma"/>
          <w:bCs/>
          <w:sz w:val="20"/>
          <w:szCs w:val="20"/>
        </w:rPr>
        <w:t xml:space="preserve"> </w:t>
      </w:r>
      <w:r>
        <w:rPr>
          <w:rFonts w:ascii="Tele-GroteskEERegular" w:hAnsi="Tele-GroteskEERegular" w:cs="Tahoma"/>
          <w:sz w:val="20"/>
          <w:szCs w:val="20"/>
        </w:rPr>
        <w:t xml:space="preserve"> </w:t>
      </w:r>
      <w:r>
        <w:rPr>
          <w:rFonts w:ascii="Tele-GroteskEERegular" w:hAnsi="Tele-GroteskEERegular" w:cs="Tahoma"/>
          <w:bCs/>
          <w:sz w:val="20"/>
          <w:szCs w:val="20"/>
        </w:rPr>
        <w:t xml:space="preserve"> </w:t>
      </w:r>
      <w:r>
        <w:rPr>
          <w:rFonts w:ascii="Tele-GroteskEERegular" w:hAnsi="Tele-GroteskEERegular" w:cs="Tahoma"/>
          <w:sz w:val="20"/>
          <w:szCs w:val="20"/>
        </w:rPr>
        <w:t>a</w:t>
      </w:r>
      <w:r w:rsidR="002F1FE4">
        <w:rPr>
          <w:rFonts w:ascii="Tele-GroteskEERegular" w:hAnsi="Tele-GroteskEERegular" w:cs="Tahoma"/>
          <w:sz w:val="20"/>
          <w:szCs w:val="20"/>
        </w:rPr>
        <w:t xml:space="preserve">             </w:t>
      </w:r>
      <w:r>
        <w:rPr>
          <w:rFonts w:ascii="Tele-GroteskEERegular" w:hAnsi="Tele-GroteskEERegular" w:cs="Tahoma"/>
          <w:sz w:val="20"/>
          <w:szCs w:val="20"/>
        </w:rPr>
        <w:t xml:space="preserve"> </w:t>
      </w:r>
      <w:r w:rsidR="001D6C92">
        <w:rPr>
          <w:rFonts w:ascii="Tele-GroteskEERegular" w:hAnsi="Tele-GroteskEERegular" w:cs="Tahoma"/>
          <w:sz w:val="20"/>
          <w:szCs w:val="20"/>
        </w:rPr>
        <w:t xml:space="preserve"> 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FE4"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="002F1FE4" w:rsidRPr="005D1A9A">
        <w:rPr>
          <w:rFonts w:ascii="Tele-GroteskEEBold" w:hAnsi="Tele-GroteskEEBold" w:cs="Tahoma"/>
          <w:sz w:val="20"/>
          <w:szCs w:val="20"/>
        </w:rPr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separate"/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end"/>
      </w:r>
      <w:r w:rsidR="002F1FE4">
        <w:rPr>
          <w:rFonts w:ascii="Tele-GroteskEERegular" w:hAnsi="Tele-GroteskEERegular" w:cs="Tahoma"/>
          <w:bCs/>
          <w:position w:val="-6"/>
          <w:sz w:val="20"/>
          <w:szCs w:val="20"/>
        </w:rPr>
        <w:t xml:space="preserve">                            </w:t>
      </w:r>
      <w:r>
        <w:rPr>
          <w:rFonts w:ascii="Tele-GroteskEERegular" w:hAnsi="Tele-GroteskEERegular" w:cs="Tahoma"/>
          <w:bCs/>
          <w:position w:val="-6"/>
          <w:sz w:val="20"/>
          <w:szCs w:val="20"/>
        </w:rPr>
        <w:t xml:space="preserve"> (</w:t>
      </w:r>
      <w:r w:rsidR="004B6527">
        <w:rPr>
          <w:rFonts w:ascii="Tele-GroteskEERegular" w:hAnsi="Tele-GroteskEERegular" w:cs="Tahoma"/>
          <w:bCs/>
          <w:sz w:val="20"/>
          <w:szCs w:val="20"/>
        </w:rPr>
        <w:t>užívateľom</w:t>
      </w:r>
      <w:r>
        <w:rPr>
          <w:rFonts w:ascii="Tele-GroteskEERegular" w:hAnsi="Tele-GroteskEERegular" w:cs="Tahoma"/>
          <w:bCs/>
          <w:sz w:val="20"/>
          <w:szCs w:val="20"/>
        </w:rPr>
        <w:t>)</w:t>
      </w:r>
    </w:p>
    <w:p w:rsidR="00B86036" w:rsidRDefault="00B86036" w:rsidP="00B86036">
      <w:pPr>
        <w:pStyle w:val="Zkladntext"/>
        <w:jc w:val="center"/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pStyle w:val="Zkladntext"/>
        <w:numPr>
          <w:ilvl w:val="0"/>
          <w:numId w:val="9"/>
        </w:numPr>
        <w:autoSpaceDE w:val="0"/>
        <w:autoSpaceDN w:val="0"/>
        <w:spacing w:before="24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Nižšie uvedené podmienky zaväzujú zamestnancov aj zástupcov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>a jeho subdodávateľov.</w:t>
      </w:r>
    </w:p>
    <w:p w:rsidR="00B86036" w:rsidRDefault="004B6527" w:rsidP="00B86036">
      <w:pPr>
        <w:pStyle w:val="Zkladntext"/>
        <w:numPr>
          <w:ilvl w:val="0"/>
          <w:numId w:val="9"/>
        </w:numPr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Užívateľ </w:t>
      </w:r>
      <w:r w:rsidR="00B86036">
        <w:rPr>
          <w:rFonts w:ascii="Tele-GroteskEERegular" w:hAnsi="Tele-GroteskEERegular" w:cs="Tahoma"/>
          <w:sz w:val="20"/>
          <w:szCs w:val="20"/>
        </w:rPr>
        <w:t>zodpovedá voči ST za plnenie daných podmienok svojimi zamestnancami ako aj zamestnancami aj zástupcami svojich subdodávateľov, pokiaľ z jeho zmluvných vzťahov s týmito subdodávateľmi vyplýva faktické plnenie pre ST.</w:t>
      </w:r>
    </w:p>
    <w:p w:rsidR="00B86036" w:rsidRDefault="004B6527" w:rsidP="00B86036">
      <w:pPr>
        <w:pStyle w:val="Zkladntext"/>
        <w:numPr>
          <w:ilvl w:val="0"/>
          <w:numId w:val="9"/>
        </w:numPr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Užívateľ </w:t>
      </w:r>
      <w:r w:rsidR="00B86036">
        <w:rPr>
          <w:rFonts w:ascii="Tele-GroteskEERegular" w:hAnsi="Tele-GroteskEERegular" w:cs="Tahoma"/>
          <w:sz w:val="20"/>
          <w:szCs w:val="20"/>
        </w:rPr>
        <w:t>a jeho subdodávatelia sú povinní dodržiavať pri vykonávaní prác predpisy o bezpečnosti a ochrane zdravia pri práci. Sú zodpovední za úrazy a škody, ktoré vzniknú porušením alebo zanedbaním bezpečnostných predpisov a noriem.</w:t>
      </w:r>
    </w:p>
    <w:p w:rsidR="00B86036" w:rsidRDefault="00B86036" w:rsidP="00B86036">
      <w:pPr>
        <w:pStyle w:val="Zkladntext"/>
        <w:numPr>
          <w:ilvl w:val="0"/>
          <w:numId w:val="9"/>
        </w:numPr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Zamestnanci a zástupcovia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sú povinní dodržiavať pokyny kontrolných orgánov ST v oblasti bezpečnosti a hygieny práce. V prípade zistenia porušovania zásad BOZP zamestnancami alebo zástupcami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je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 </w:t>
      </w:r>
      <w:r>
        <w:rPr>
          <w:rFonts w:ascii="Tele-GroteskEERegular" w:hAnsi="Tele-GroteskEERegular" w:cs="Tahoma"/>
          <w:sz w:val="20"/>
          <w:szCs w:val="20"/>
        </w:rPr>
        <w:t>povinný urobiť nápravu podľa pokynov kontrolného orgánu ST vrátane rešpektovania zákazu práce, či vykázanie porušovateľov z pr</w:t>
      </w:r>
      <w:r w:rsidR="008D5E61">
        <w:rPr>
          <w:rFonts w:ascii="Tele-GroteskEERegular" w:hAnsi="Tele-GroteskEERegular" w:cs="Tahoma"/>
          <w:sz w:val="20"/>
          <w:szCs w:val="20"/>
        </w:rPr>
        <w:t>acoviska</w:t>
      </w:r>
      <w:r>
        <w:rPr>
          <w:rFonts w:ascii="Tele-GroteskEERegular" w:hAnsi="Tele-GroteskEERegular" w:cs="Tahoma"/>
          <w:sz w:val="20"/>
          <w:szCs w:val="20"/>
        </w:rPr>
        <w:t xml:space="preserve"> ST.</w:t>
      </w:r>
    </w:p>
    <w:p w:rsidR="00B86036" w:rsidRDefault="00B86036" w:rsidP="00B86036">
      <w:pPr>
        <w:pStyle w:val="Zkladntext"/>
        <w:numPr>
          <w:ilvl w:val="0"/>
          <w:numId w:val="9"/>
        </w:numPr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Pre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 </w:t>
      </w:r>
      <w:r>
        <w:rPr>
          <w:rFonts w:ascii="Tele-GroteskEERegular" w:hAnsi="Tele-GroteskEERegular" w:cs="Tahoma"/>
          <w:sz w:val="20"/>
          <w:szCs w:val="20"/>
        </w:rPr>
        <w:t>a jeho subdodávateľov, ktorí plnia svoje záväzky voči ST, platia tieto základné bezpečnostné pokyny: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Zamestnanci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(subdodávateľa), ktorí budú pôsobiť na pracoviskách ST, musia absolvovať vstupné oboznámenie s predpismi BOZP, ktoré preukázateľne vykoná zástupca ST alebo zástupca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>(subdodávateľa) zodpovedný za oboznámenie všetkých ďalších zúčastnených .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Práce sa môžu začať až po ich predchádzajúcom prerokovaní s príslušným technickým zástupcom ST, o čom sa vykoná zápis, ktorý potvrdia svojimi podpismi zodpovedný zástupca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a ST. Zástupca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>(subdodávateľa) je zodpovedný za oboznámenie všetkých ďalších zúčastnených.</w:t>
      </w:r>
    </w:p>
    <w:p w:rsidR="00B86036" w:rsidRDefault="00B86036" w:rsidP="00B86036">
      <w:pPr>
        <w:pStyle w:val="Zkladntext"/>
        <w:numPr>
          <w:ilvl w:val="0"/>
          <w:numId w:val="10"/>
        </w:numPr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Zamestnanci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a zástupca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sú povinní používať pri práci stanovené osobné ochranné pracovné prostriedky a pomôcky.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 </w:t>
      </w:r>
      <w:r>
        <w:rPr>
          <w:rFonts w:ascii="Tele-GroteskEERegular" w:hAnsi="Tele-GroteskEERegular" w:cs="Tahoma"/>
          <w:sz w:val="20"/>
          <w:szCs w:val="20"/>
        </w:rPr>
        <w:t>(subdodávateľ) je povinný zaistiť pre</w:t>
      </w:r>
      <w:r>
        <w:rPr>
          <w:rFonts w:ascii="Tele-GroteskEERegular" w:hAnsi="Tele-GroteskEERegular" w:cs="Tahoma"/>
          <w:sz w:val="20"/>
          <w:szCs w:val="20"/>
          <w:lang w:val="cs-CZ"/>
        </w:rPr>
        <w:t> </w:t>
      </w:r>
      <w:r>
        <w:rPr>
          <w:rFonts w:ascii="Tele-GroteskEERegular" w:hAnsi="Tele-GroteskEERegular" w:cs="Tahoma"/>
          <w:sz w:val="20"/>
          <w:szCs w:val="20"/>
        </w:rPr>
        <w:t>svojich zamestnancov OOPP a pomôcky, taktiež vyžadovať a kontrolovať ich používanie.</w:t>
      </w:r>
    </w:p>
    <w:p w:rsidR="00B86036" w:rsidRPr="00E81D05" w:rsidRDefault="00B86036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 w:rsidRPr="00E81D05">
        <w:rPr>
          <w:rFonts w:ascii="Tele-GroteskEERegular" w:hAnsi="Tele-GroteskEERegular" w:cs="Tahoma"/>
          <w:sz w:val="20"/>
          <w:szCs w:val="20"/>
        </w:rPr>
        <w:t xml:space="preserve">Zástupcovia </w:t>
      </w:r>
      <w:r w:rsidR="004B6527" w:rsidRPr="00E81D05">
        <w:rPr>
          <w:rFonts w:ascii="Tele-GroteskEERegular" w:hAnsi="Tele-GroteskEERegular" w:cs="Tahoma"/>
          <w:sz w:val="20"/>
          <w:szCs w:val="20"/>
        </w:rPr>
        <w:t xml:space="preserve">Užívateľa </w:t>
      </w:r>
      <w:r w:rsidRPr="00E81D05">
        <w:rPr>
          <w:rFonts w:ascii="Tele-GroteskEERegular" w:hAnsi="Tele-GroteskEERegular" w:cs="Tahoma"/>
          <w:sz w:val="20"/>
          <w:szCs w:val="20"/>
        </w:rPr>
        <w:t xml:space="preserve">(subdodávateľa) sú povinní pred začatím prác absolvovať v ST inštruktáž, ktorej cieľom je zaistiť bezpečnosť  zamestnancov </w:t>
      </w:r>
      <w:r w:rsidR="004B6527" w:rsidRPr="00E81D05">
        <w:rPr>
          <w:rFonts w:ascii="Tele-GroteskEERegular" w:hAnsi="Tele-GroteskEERegular" w:cs="Tahoma"/>
          <w:sz w:val="20"/>
          <w:szCs w:val="20"/>
        </w:rPr>
        <w:t xml:space="preserve">Užívateľa </w:t>
      </w:r>
      <w:r w:rsidRPr="00E81D05">
        <w:rPr>
          <w:rFonts w:ascii="Tele-GroteskEERegular" w:hAnsi="Tele-GroteskEERegular" w:cs="Tahoma"/>
          <w:sz w:val="20"/>
          <w:szCs w:val="20"/>
        </w:rPr>
        <w:t xml:space="preserve">(subdodávateľa) a ST. </w:t>
      </w:r>
      <w:r w:rsidR="004B6527" w:rsidRPr="00E81D05">
        <w:rPr>
          <w:rFonts w:ascii="Tele-GroteskEERegular" w:hAnsi="Tele-GroteskEERegular" w:cs="Tahoma"/>
          <w:sz w:val="20"/>
          <w:szCs w:val="20"/>
        </w:rPr>
        <w:t xml:space="preserve">Užívateľ </w:t>
      </w:r>
      <w:r w:rsidRPr="00E81D05">
        <w:rPr>
          <w:rFonts w:ascii="Tele-GroteskEERegular" w:hAnsi="Tele-GroteskEERegular" w:cs="Tahoma"/>
          <w:sz w:val="20"/>
          <w:szCs w:val="20"/>
        </w:rPr>
        <w:t>(subdodávateľ) je povinný zaistiť, aby zásady stanovené v priebehu inštruktáže boli preukázateľne prenesené na jeho zamestnancov.</w:t>
      </w:r>
    </w:p>
    <w:p w:rsidR="00B86036" w:rsidRDefault="004B6527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Užívateľ </w:t>
      </w:r>
      <w:r w:rsidR="00B86036">
        <w:rPr>
          <w:rFonts w:ascii="Tele-GroteskEERegular" w:hAnsi="Tele-GroteskEERegular" w:cs="Tahoma"/>
          <w:sz w:val="20"/>
          <w:szCs w:val="20"/>
        </w:rPr>
        <w:t>(subdodávateľ) je povinný menovať pri každej pracovnej skupine vedúceho práce, a</w:t>
      </w:r>
      <w:r w:rsidR="00B86036">
        <w:rPr>
          <w:rFonts w:ascii="Tele-GroteskEERegular" w:hAnsi="Tele-GroteskEERegular" w:cs="Tahoma"/>
          <w:sz w:val="20"/>
          <w:szCs w:val="20"/>
          <w:lang w:val="hu-HU"/>
        </w:rPr>
        <w:t> </w:t>
      </w:r>
      <w:r w:rsidR="00B86036">
        <w:rPr>
          <w:rFonts w:ascii="Tele-GroteskEERegular" w:hAnsi="Tele-GroteskEERegular" w:cs="Tahoma"/>
          <w:sz w:val="20"/>
          <w:szCs w:val="20"/>
        </w:rPr>
        <w:t>to aj v prípade, že sa jedná o dvojčlennú skupinu. Vedúcemu pracovnej skupiny musí stanoviť zodpovednosť za zaisťovanie bezpečnosti a ochrany zdravia pri práci celej skupiny. O svojich povinnostiach a právach musí byť vedúci skupiny riadne poučený ešte pred začatím prác.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Zamestnanci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zodpovedajú za </w:t>
      </w:r>
      <w:r w:rsidR="00622225">
        <w:rPr>
          <w:rFonts w:ascii="Tele-GroteskEERegular" w:hAnsi="Tele-GroteskEERegular" w:cs="Tahoma"/>
          <w:sz w:val="20"/>
          <w:szCs w:val="20"/>
        </w:rPr>
        <w:t>bezpečnosť</w:t>
      </w:r>
      <w:r>
        <w:rPr>
          <w:rFonts w:ascii="Tele-GroteskEERegular" w:hAnsi="Tele-GroteskEERegular" w:cs="Tahoma"/>
          <w:sz w:val="20"/>
          <w:szCs w:val="20"/>
        </w:rPr>
        <w:t xml:space="preserve"> na svojom pracovisku. Všetky bezpečnostné opatrenia musia byť v súlade s vyhláškou č. 59/1982 Zb., ktorou sa určujú základné požiadavky pre zaistenie bezpečnosti práce a technických zariadení, vyhláškou MPSVR SR č.147/2013 Z.z., ktorou sa ustanovujú podrobnosti na zaistenie bezpečnosti a ochrany zdravia pri stavebných prácach a prácach s nimi súvisiacich a podrobnosti o odbornej spôsobilosti na výkon niektorých pracovných činností v znení neskorších predpisov a nadväzujúcimi predpismi, normami a pokynmi ST.</w:t>
      </w:r>
    </w:p>
    <w:p w:rsidR="00B86036" w:rsidRDefault="004B6527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Užívateľ  </w:t>
      </w:r>
      <w:r w:rsidR="00B86036">
        <w:rPr>
          <w:rFonts w:ascii="Tele-GroteskEERegular" w:hAnsi="Tele-GroteskEERegular" w:cs="Tahoma"/>
          <w:sz w:val="20"/>
          <w:szCs w:val="20"/>
        </w:rPr>
        <w:t xml:space="preserve">(subdodávateľ) je povinný denne pred začatím práce určenému zástupcovi ST oznámiť informáciu o rozsahu práce a určenia miesta, kde bude danú činnosť vykonávať. Záznam o dohode vykonajú zainteresovaní do montážneho, či stavebného denníka. Uvedená povinnosť odpadá, ak je pracovisko odovzdané </w:t>
      </w:r>
      <w:r>
        <w:rPr>
          <w:rFonts w:ascii="Tele-GroteskEERegular" w:hAnsi="Tele-GroteskEERegular" w:cs="Tahoma"/>
          <w:sz w:val="20"/>
          <w:szCs w:val="20"/>
        </w:rPr>
        <w:t xml:space="preserve">Užívateľovi </w:t>
      </w:r>
      <w:r w:rsidR="00B86036">
        <w:rPr>
          <w:rFonts w:ascii="Tele-GroteskEERegular" w:hAnsi="Tele-GroteskEERegular" w:cs="Tahoma"/>
          <w:sz w:val="20"/>
          <w:szCs w:val="20"/>
        </w:rPr>
        <w:t>(subdodávateľovi) a nie je dotknuté činnosťou ST.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Zamestnanci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>(subdodávateľa) sa môžu zdržiavať len na tých pracoviskách, kde plnia svoje pracovné povinnosti a kde boli poučení o bezpečnosti práce a možnosti vzniku úrazu. Pri vstupe na pracoviská</w:t>
      </w:r>
      <w:r w:rsidR="00622225">
        <w:rPr>
          <w:rFonts w:ascii="Tele-GroteskEERegular" w:hAnsi="Tele-GroteskEERegular" w:cs="Tahoma"/>
          <w:sz w:val="20"/>
          <w:szCs w:val="20"/>
        </w:rPr>
        <w:t xml:space="preserve"> </w:t>
      </w:r>
      <w:r>
        <w:rPr>
          <w:rFonts w:ascii="Tele-GroteskEERegular" w:hAnsi="Tele-GroteskEERegular" w:cs="Tahoma"/>
          <w:sz w:val="20"/>
          <w:szCs w:val="20"/>
        </w:rPr>
        <w:t>môžu používať len komunikácie, ktoré im boli určené zástupcom ST.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Vodiči dopravných prostriedkov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(subdodávateľa), ktorí zaisťujú dopravu na území ST, sú okrem všeobecne záväzných predpisov povinní rešpektovať tiež vnútorné značenia a pravidlá prevádzky na komunikáciách ST. 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360"/>
          <w:tab w:val="left" w:pos="709"/>
        </w:tabs>
        <w:autoSpaceDE w:val="0"/>
        <w:autoSpaceDN w:val="0"/>
        <w:spacing w:before="120" w:after="0"/>
        <w:ind w:left="0" w:firstLine="0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Pokiaľ pri stavebnej alebo montážnej činnosti bude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  </w:t>
      </w:r>
      <w:r>
        <w:rPr>
          <w:rFonts w:ascii="Tele-GroteskEERegular" w:hAnsi="Tele-GroteskEERegular" w:cs="Tahoma"/>
          <w:sz w:val="20"/>
          <w:szCs w:val="20"/>
        </w:rPr>
        <w:t>(subdodávateľ) používať základné prostriedky ST, musí byť dopredu uzatvorená písomná dohoda, ktorej obsahom bude vymedzenie práv a povinností ako aj stanovenie podmienok bezpečného používania daných základných prostriedkov.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360"/>
        </w:tabs>
        <w:autoSpaceDE w:val="0"/>
        <w:autoSpaceDN w:val="0"/>
        <w:spacing w:before="120" w:after="0"/>
        <w:ind w:left="0" w:firstLine="0"/>
        <w:jc w:val="both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lastRenderedPageBreak/>
        <w:t xml:space="preserve">Skládky, či drobné ukladanie materiálu môže </w:t>
      </w:r>
      <w:r w:rsidR="004B6527">
        <w:rPr>
          <w:rFonts w:ascii="Tele-GroteskEERegular" w:hAnsi="Tele-GroteskEERegular" w:cs="Tahoma"/>
          <w:sz w:val="20"/>
          <w:szCs w:val="20"/>
        </w:rPr>
        <w:t xml:space="preserve">Užívateľ </w:t>
      </w:r>
      <w:r>
        <w:rPr>
          <w:rFonts w:ascii="Tele-GroteskEERegular" w:hAnsi="Tele-GroteskEERegular" w:cs="Tahoma"/>
          <w:sz w:val="20"/>
          <w:szCs w:val="20"/>
        </w:rPr>
        <w:t>(subdodávateľ) vykonávať len v priestoroch, ktoré k tomu boli určené zástupcom ST  a to v súlade s príslušnými ustanoveniami vyhlášky č. 59/1982 Zb. a vyhlášky č. 147/2013 Z.z.</w:t>
      </w:r>
    </w:p>
    <w:p w:rsidR="00B86036" w:rsidRDefault="00B86036" w:rsidP="00B86036">
      <w:pPr>
        <w:pStyle w:val="Zkladntext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20" w:after="0"/>
        <w:ind w:left="0" w:firstLine="0"/>
        <w:jc w:val="both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Každé prerušenie a opätovné začatie práce musí zodpovedný zamestnanec </w:t>
      </w:r>
      <w:r w:rsidR="005560DC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>(subdodávateľa) oznámiť určenému zástupcovi ST a vykonať o tom zápis v stavebnom či montážnom denníku.</w:t>
      </w:r>
    </w:p>
    <w:p w:rsidR="00B86036" w:rsidRDefault="00B86036" w:rsidP="00B86036">
      <w:pPr>
        <w:pStyle w:val="Zkladntext"/>
        <w:numPr>
          <w:ilvl w:val="0"/>
          <w:numId w:val="9"/>
        </w:numPr>
        <w:spacing w:before="120" w:after="0"/>
        <w:jc w:val="both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Ak zamestnanec alebo zástupca </w:t>
      </w:r>
      <w:r w:rsidR="005560DC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utrpel pracovný úraz na pracovisku ST, je tento zamestnanec alebo zástupca </w:t>
      </w:r>
      <w:r w:rsidR="005560DC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povinný bezodkladne oznámiť vznik pracovného úrazu zástupcovi ST aby mal okamžitú možnosť zúčastniť sa vyšetrovania príčin a okolností úrazu. </w:t>
      </w:r>
    </w:p>
    <w:p w:rsidR="00B86036" w:rsidRDefault="00B86036" w:rsidP="00B86036">
      <w:pPr>
        <w:pStyle w:val="Zkladntext"/>
        <w:numPr>
          <w:ilvl w:val="0"/>
          <w:numId w:val="9"/>
        </w:numPr>
        <w:spacing w:before="120" w:after="0"/>
        <w:jc w:val="both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Každý vzniknutý pracovný úraz zamestnanca alebo zástupcu </w:t>
      </w:r>
      <w:r w:rsidR="005560DC">
        <w:rPr>
          <w:rFonts w:ascii="Tele-GroteskEERegular" w:hAnsi="Tele-GroteskEERegular" w:cs="Tahoma"/>
          <w:sz w:val="20"/>
          <w:szCs w:val="20"/>
        </w:rPr>
        <w:t xml:space="preserve">Užívateľa </w:t>
      </w:r>
      <w:r>
        <w:rPr>
          <w:rFonts w:ascii="Tele-GroteskEERegular" w:hAnsi="Tele-GroteskEERegular" w:cs="Tahoma"/>
          <w:sz w:val="20"/>
          <w:szCs w:val="20"/>
        </w:rPr>
        <w:t xml:space="preserve">(subdodávateľa) musia zodpovední zástupcovia ST okamžite nahlásiť  </w:t>
      </w:r>
      <w:r w:rsidR="005560DC">
        <w:rPr>
          <w:rFonts w:ascii="Tele-GroteskEERegular" w:hAnsi="Tele-GroteskEERegular" w:cs="Tahoma"/>
          <w:sz w:val="20"/>
          <w:szCs w:val="20"/>
        </w:rPr>
        <w:t xml:space="preserve">Užívateľovi. </w:t>
      </w:r>
      <w:r>
        <w:rPr>
          <w:rFonts w:ascii="Tele-GroteskEERegular" w:hAnsi="Tele-GroteskEERegular" w:cs="Tahoma"/>
          <w:sz w:val="20"/>
          <w:szCs w:val="20"/>
        </w:rPr>
        <w:t xml:space="preserve">. </w:t>
      </w:r>
    </w:p>
    <w:p w:rsidR="00B86036" w:rsidRDefault="00B86036" w:rsidP="00B86036">
      <w:pPr>
        <w:pStyle w:val="Zkladntext"/>
        <w:spacing w:before="480"/>
        <w:rPr>
          <w:rFonts w:ascii="Tele-GroteskEERegular" w:hAnsi="Tele-GroteskEERegular" w:cs="Tahoma"/>
          <w:position w:val="-6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>V 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FE4"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="002F1FE4" w:rsidRPr="005D1A9A">
        <w:rPr>
          <w:rFonts w:ascii="Tele-GroteskEEBold" w:hAnsi="Tele-GroteskEEBold" w:cs="Tahoma"/>
          <w:sz w:val="20"/>
          <w:szCs w:val="20"/>
        </w:rPr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separate"/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end"/>
      </w:r>
      <w:r>
        <w:rPr>
          <w:rFonts w:ascii="Tele-GroteskEERegular" w:hAnsi="Tele-GroteskEERegular" w:cs="Tahoma"/>
          <w:position w:val="-6"/>
          <w:sz w:val="20"/>
          <w:szCs w:val="20"/>
        </w:rPr>
        <w:t xml:space="preserve"> </w:t>
      </w:r>
      <w:r>
        <w:rPr>
          <w:rFonts w:ascii="Tele-GroteskEERegular" w:hAnsi="Tele-GroteskEERegular" w:cs="Tahoma"/>
          <w:sz w:val="20"/>
          <w:szCs w:val="20"/>
        </w:rPr>
        <w:t xml:space="preserve"> </w:t>
      </w:r>
      <w:r>
        <w:rPr>
          <w:rFonts w:ascii="Tele-GroteskEERegular" w:hAnsi="Tele-GroteskEERegular" w:cs="Tahoma"/>
          <w:sz w:val="20"/>
          <w:szCs w:val="20"/>
        </w:rPr>
        <w:tab/>
        <w:t xml:space="preserve">dňa 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FE4"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="002F1FE4" w:rsidRPr="005D1A9A">
        <w:rPr>
          <w:rFonts w:ascii="Tele-GroteskEEBold" w:hAnsi="Tele-GroteskEEBold" w:cs="Tahoma"/>
          <w:sz w:val="20"/>
          <w:szCs w:val="20"/>
        </w:rPr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separate"/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end"/>
      </w:r>
    </w:p>
    <w:p w:rsidR="00B86036" w:rsidRDefault="00B86036" w:rsidP="00B86036">
      <w:pPr>
        <w:pStyle w:val="Zkladntext"/>
        <w:tabs>
          <w:tab w:val="left" w:pos="5103"/>
          <w:tab w:val="left" w:pos="6096"/>
        </w:tabs>
        <w:rPr>
          <w:rFonts w:ascii="Tele-GroteskEERegular" w:hAnsi="Tele-GroteskEERegular" w:cs="Tahoma"/>
          <w:sz w:val="20"/>
          <w:szCs w:val="20"/>
        </w:rPr>
      </w:pPr>
    </w:p>
    <w:p w:rsidR="00B86036" w:rsidRDefault="005560DC" w:rsidP="00B86036">
      <w:pPr>
        <w:pStyle w:val="Zkladntext"/>
        <w:tabs>
          <w:tab w:val="left" w:pos="5103"/>
          <w:tab w:val="left" w:pos="6096"/>
        </w:tabs>
        <w:rPr>
          <w:rFonts w:ascii="Tele-GroteskEERegular" w:hAnsi="Tele-GroteskEERegular" w:cs="Tahoma"/>
          <w:position w:val="-6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>Užívateľ</w:t>
      </w:r>
      <w:r w:rsidR="00B86036">
        <w:rPr>
          <w:rFonts w:ascii="Tele-GroteskEERegular" w:hAnsi="Tele-GroteskEERegular" w:cs="Tahoma"/>
          <w:sz w:val="20"/>
          <w:szCs w:val="20"/>
        </w:rPr>
        <w:t>):</w:t>
      </w:r>
      <w:r w:rsidR="00B86036">
        <w:rPr>
          <w:rFonts w:ascii="Tele-GroteskEERegular" w:hAnsi="Tele-GroteskEERegular" w:cs="Tahoma"/>
          <w:position w:val="-6"/>
          <w:sz w:val="20"/>
          <w:szCs w:val="20"/>
        </w:rPr>
        <w:t xml:space="preserve">       </w:t>
      </w:r>
      <w:r w:rsidR="00B86036">
        <w:rPr>
          <w:rFonts w:ascii="Tele-GroteskEERegular" w:hAnsi="Tele-GroteskEERegular" w:cs="Tahoma"/>
          <w:position w:val="-6"/>
          <w:sz w:val="20"/>
          <w:szCs w:val="20"/>
        </w:rPr>
        <w:tab/>
      </w:r>
      <w:r w:rsidR="00B86036">
        <w:rPr>
          <w:rFonts w:ascii="Tele-GroteskEERegular" w:hAnsi="Tele-GroteskEERegular" w:cs="Tahoma"/>
          <w:position w:val="-6"/>
          <w:sz w:val="20"/>
          <w:szCs w:val="20"/>
        </w:rPr>
        <w:tab/>
      </w:r>
      <w:r w:rsidR="00B86036">
        <w:rPr>
          <w:rFonts w:ascii="Tele-GroteskEERegular" w:hAnsi="Tele-GroteskEERegular" w:cs="Tahoma"/>
          <w:position w:val="-6"/>
          <w:sz w:val="20"/>
          <w:szCs w:val="20"/>
        </w:rPr>
        <w:tab/>
        <w:t xml:space="preserve">         </w:t>
      </w:r>
      <w:r w:rsidR="00B86036">
        <w:rPr>
          <w:rFonts w:ascii="Tele-GroteskEERegular" w:hAnsi="Tele-GroteskEERegular" w:cs="Tahoma"/>
          <w:sz w:val="20"/>
          <w:szCs w:val="20"/>
        </w:rPr>
        <w:t>ST :</w:t>
      </w:r>
    </w:p>
    <w:p w:rsidR="00B86036" w:rsidRDefault="00B86036" w:rsidP="00B86036">
      <w:pPr>
        <w:pStyle w:val="Zkladntext"/>
        <w:tabs>
          <w:tab w:val="left" w:pos="1560"/>
          <w:tab w:val="left" w:pos="6379"/>
        </w:tabs>
        <w:rPr>
          <w:rFonts w:ascii="Tele-GroteskEERegular" w:hAnsi="Tele-GroteskEERegular" w:cs="Tahoma"/>
          <w:position w:val="-6"/>
          <w:sz w:val="20"/>
          <w:szCs w:val="20"/>
        </w:rPr>
      </w:pPr>
    </w:p>
    <w:p w:rsidR="00B86036" w:rsidRDefault="002F1FE4" w:rsidP="00B86036">
      <w:pPr>
        <w:pStyle w:val="Zkladntext"/>
        <w:tabs>
          <w:tab w:val="left" w:pos="0"/>
          <w:tab w:val="left" w:pos="6237"/>
        </w:tabs>
        <w:rPr>
          <w:rFonts w:ascii="Tele-GroteskEERegular" w:hAnsi="Tele-GroteskEERegular" w:cs="Tahoma"/>
          <w:position w:val="-6"/>
          <w:sz w:val="20"/>
          <w:szCs w:val="20"/>
        </w:rPr>
      </w:pPr>
      <w:r>
        <w:rPr>
          <w:rFonts w:ascii="Tele-GroteskEEBold" w:hAnsi="Tele-GroteskEEBold" w:cs="Tahoma"/>
          <w:sz w:val="20"/>
          <w:szCs w:val="20"/>
        </w:rPr>
        <w:t xml:space="preserve">                           </w:t>
      </w:r>
      <w:r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Pr="005D1A9A">
        <w:rPr>
          <w:rFonts w:ascii="Tele-GroteskEEBold" w:hAnsi="Tele-GroteskEEBold" w:cs="Tahoma"/>
          <w:sz w:val="20"/>
          <w:szCs w:val="20"/>
        </w:rPr>
      </w:r>
      <w:r w:rsidRPr="005D1A9A">
        <w:rPr>
          <w:rFonts w:ascii="Tele-GroteskEEBold" w:hAnsi="Tele-GroteskEEBold" w:cs="Tahoma"/>
          <w:sz w:val="20"/>
          <w:szCs w:val="20"/>
        </w:rPr>
        <w:fldChar w:fldCharType="separate"/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fldChar w:fldCharType="end"/>
      </w:r>
      <w:r w:rsidR="00B86036">
        <w:rPr>
          <w:rFonts w:ascii="Tele-GroteskEERegular" w:hAnsi="Tele-GroteskEERegular" w:cs="Tahoma"/>
          <w:position w:val="-6"/>
          <w:sz w:val="20"/>
          <w:szCs w:val="20"/>
        </w:rPr>
        <w:t xml:space="preserve">           </w:t>
      </w:r>
      <w:r w:rsidR="00B86036">
        <w:rPr>
          <w:rFonts w:ascii="Tele-GroteskEERegular" w:hAnsi="Tele-GroteskEERegular" w:cs="Tahoma"/>
          <w:position w:val="-6"/>
          <w:sz w:val="20"/>
          <w:szCs w:val="20"/>
        </w:rPr>
        <w:tab/>
      </w:r>
      <w:r>
        <w:rPr>
          <w:rFonts w:ascii="Tele-GroteskEERegular" w:hAnsi="Tele-GroteskEERegular" w:cs="Tahoma"/>
          <w:position w:val="-6"/>
          <w:sz w:val="20"/>
          <w:szCs w:val="20"/>
        </w:rPr>
        <w:t xml:space="preserve">                         </w:t>
      </w:r>
      <w:r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Pr="005D1A9A">
        <w:rPr>
          <w:rFonts w:ascii="Tele-GroteskEEBold" w:hAnsi="Tele-GroteskEEBold" w:cs="Tahoma"/>
          <w:sz w:val="20"/>
          <w:szCs w:val="20"/>
        </w:rPr>
      </w:r>
      <w:r w:rsidRPr="005D1A9A">
        <w:rPr>
          <w:rFonts w:ascii="Tele-GroteskEEBold" w:hAnsi="Tele-GroteskEEBold" w:cs="Tahoma"/>
          <w:sz w:val="20"/>
          <w:szCs w:val="20"/>
        </w:rPr>
        <w:fldChar w:fldCharType="separate"/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fldChar w:fldCharType="end"/>
      </w:r>
    </w:p>
    <w:p w:rsidR="00B86036" w:rsidRDefault="00B86036" w:rsidP="00B86036">
      <w:pPr>
        <w:pStyle w:val="Zkladntext"/>
        <w:tabs>
          <w:tab w:val="left" w:pos="0"/>
          <w:tab w:val="left" w:pos="6237"/>
        </w:tabs>
        <w:rPr>
          <w:rFonts w:ascii="Tele-GroteskEERegular" w:hAnsi="Tele-GroteskEERegular" w:cs="Tahoma"/>
          <w:position w:val="-6"/>
          <w:sz w:val="20"/>
          <w:szCs w:val="20"/>
        </w:rPr>
      </w:pPr>
    </w:p>
    <w:p w:rsidR="00B86036" w:rsidRDefault="00B86036" w:rsidP="00B86036">
      <w:pPr>
        <w:pStyle w:val="Zkladntext"/>
        <w:tabs>
          <w:tab w:val="left" w:pos="1701"/>
          <w:tab w:val="left" w:pos="6663"/>
        </w:tabs>
        <w:rPr>
          <w:rFonts w:ascii="Tele-GroteskEERegular" w:hAnsi="Tele-GroteskEERegular" w:cs="Tahoma"/>
          <w:position w:val="-6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          Meno, funkcia a podpis                                         </w:t>
      </w:r>
      <w:r>
        <w:rPr>
          <w:rFonts w:ascii="Tele-GroteskEERegular" w:hAnsi="Tele-GroteskEERegular" w:cs="Tahoma"/>
          <w:sz w:val="20"/>
          <w:szCs w:val="20"/>
        </w:rPr>
        <w:tab/>
        <w:t xml:space="preserve"> Meno , funkcia a podpis</w:t>
      </w:r>
    </w:p>
    <w:p w:rsidR="00B86036" w:rsidRDefault="00B86036" w:rsidP="00B86036">
      <w:pPr>
        <w:tabs>
          <w:tab w:val="left" w:pos="2127"/>
          <w:tab w:val="left" w:pos="6946"/>
        </w:tabs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pStyle w:val="Zkladntext"/>
        <w:spacing w:before="120"/>
        <w:rPr>
          <w:rFonts w:ascii="Tele-GroteskEERegular" w:hAnsi="Tele-GroteskEERegular" w:cs="Tahoma"/>
          <w:sz w:val="20"/>
          <w:szCs w:val="20"/>
        </w:rPr>
      </w:pPr>
    </w:p>
    <w:p w:rsidR="00F404CA" w:rsidRDefault="00F404CA" w:rsidP="00B86036">
      <w:pPr>
        <w:pStyle w:val="Zkladntext"/>
        <w:spacing w:before="120"/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pStyle w:val="Zkladntext"/>
        <w:tabs>
          <w:tab w:val="left" w:pos="5103"/>
        </w:tabs>
        <w:spacing w:before="120"/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pStyle w:val="Zkladntext"/>
        <w:tabs>
          <w:tab w:val="left" w:pos="5103"/>
        </w:tabs>
        <w:spacing w:before="120"/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pStyle w:val="Nadpis1"/>
        <w:jc w:val="both"/>
        <w:rPr>
          <w:rFonts w:ascii="Tele-GroteskEERegular" w:hAnsi="Tele-GroteskEERegular" w:cs="Tahoma"/>
          <w:i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b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b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b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b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b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b/>
          <w:iCs/>
          <w:sz w:val="20"/>
          <w:szCs w:val="20"/>
        </w:rPr>
      </w:pPr>
    </w:p>
    <w:p w:rsidR="00B86036" w:rsidRDefault="00B86036" w:rsidP="00B86036">
      <w:pPr>
        <w:rPr>
          <w:rFonts w:ascii="Tele-GroteskEERegular" w:hAnsi="Tele-GroteskEERegular" w:cs="Tahoma"/>
          <w:b/>
          <w:iCs/>
          <w:sz w:val="20"/>
          <w:szCs w:val="20"/>
        </w:rPr>
      </w:pPr>
    </w:p>
    <w:p w:rsidR="00B86036" w:rsidRDefault="00B86036" w:rsidP="00B86036">
      <w:pPr>
        <w:rPr>
          <w:rFonts w:ascii="Tele-GroteskEEBlack" w:hAnsi="Tele-GroteskEEBlack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Black" w:hAnsi="Tele-GroteskEEBlack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Black" w:hAnsi="Tele-GroteskEEBlack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Black" w:hAnsi="Tele-GroteskEEBlack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Black" w:hAnsi="Tele-GroteskEEBlack" w:cs="Tahoma"/>
          <w:iCs/>
          <w:sz w:val="20"/>
          <w:szCs w:val="20"/>
        </w:rPr>
      </w:pPr>
    </w:p>
    <w:p w:rsidR="00B86036" w:rsidRDefault="00B86036" w:rsidP="00B86036">
      <w:pPr>
        <w:rPr>
          <w:rFonts w:ascii="Tele-GroteskEEBlack" w:hAnsi="Tele-GroteskEEBlack" w:cs="Tahoma"/>
          <w:iCs/>
          <w:sz w:val="20"/>
          <w:szCs w:val="20"/>
        </w:rPr>
      </w:pPr>
    </w:p>
    <w:p w:rsidR="00B86036" w:rsidRDefault="00B86036" w:rsidP="00B86036">
      <w:pPr>
        <w:pStyle w:val="Nadpis4"/>
        <w:ind w:left="862" w:hanging="862"/>
        <w:jc w:val="center"/>
        <w:rPr>
          <w:rFonts w:ascii="Tele-GroteskEEBlack" w:hAnsi="Tele-GroteskEEBlack" w:cs="Tahoma"/>
          <w:sz w:val="20"/>
          <w:szCs w:val="20"/>
        </w:rPr>
      </w:pPr>
    </w:p>
    <w:p w:rsidR="00B86036" w:rsidRDefault="00B86036" w:rsidP="00B86036">
      <w:pPr>
        <w:pStyle w:val="Nadpis4"/>
        <w:ind w:left="862" w:hanging="862"/>
        <w:jc w:val="center"/>
        <w:rPr>
          <w:rFonts w:ascii="Tele-GroteskEEBlack" w:hAnsi="Tele-GroteskEEBlack" w:cs="Tahoma"/>
          <w:color w:val="000000"/>
          <w:sz w:val="20"/>
          <w:szCs w:val="20"/>
        </w:rPr>
      </w:pPr>
      <w:r>
        <w:rPr>
          <w:rFonts w:ascii="Tele-GroteskEEBlack" w:hAnsi="Tele-GroteskEEBlack" w:cs="Tahoma"/>
          <w:sz w:val="20"/>
          <w:szCs w:val="20"/>
        </w:rPr>
        <w:t>Z Á Z N A M</w:t>
      </w:r>
      <w:r>
        <w:rPr>
          <w:rFonts w:ascii="Tele-GroteskEEBlack" w:hAnsi="Tele-GroteskEEBlack" w:cs="Tahoma"/>
          <w:color w:val="000000"/>
          <w:sz w:val="20"/>
          <w:szCs w:val="20"/>
        </w:rPr>
        <w:t xml:space="preserve"> </w:t>
      </w:r>
    </w:p>
    <w:p w:rsidR="00B86036" w:rsidRDefault="00B86036" w:rsidP="00B86036">
      <w:pPr>
        <w:rPr>
          <w:rFonts w:ascii="Tele-GroteskEEBlack" w:hAnsi="Tele-GroteskEEBlack" w:cs="Tahoma"/>
          <w:sz w:val="20"/>
          <w:szCs w:val="20"/>
        </w:rPr>
      </w:pPr>
    </w:p>
    <w:p w:rsidR="00B86036" w:rsidRDefault="00B86036" w:rsidP="00B86036">
      <w:pPr>
        <w:pStyle w:val="Nadpis4"/>
        <w:ind w:left="862" w:hanging="862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z oboznámenia zástupcov/zamestnancov dodávateľa (subdodávateľa) </w:t>
      </w:r>
    </w:p>
    <w:p w:rsidR="00B86036" w:rsidRDefault="00B86036" w:rsidP="00B86036">
      <w:pPr>
        <w:pStyle w:val="Nadpis4"/>
        <w:ind w:left="862" w:hanging="862"/>
        <w:rPr>
          <w:rFonts w:ascii="Tele-GroteskEERegular" w:hAnsi="Tele-GroteskEERegular" w:cs="Tahoma"/>
          <w:sz w:val="20"/>
          <w:szCs w:val="20"/>
        </w:rPr>
      </w:pPr>
    </w:p>
    <w:p w:rsidR="00B86036" w:rsidRDefault="002F1FE4" w:rsidP="00B86036">
      <w:pPr>
        <w:pStyle w:val="Oznaitext"/>
        <w:tabs>
          <w:tab w:val="clear" w:pos="360"/>
          <w:tab w:val="left" w:pos="708"/>
        </w:tabs>
        <w:ind w:right="284" w:firstLine="4394"/>
        <w:jc w:val="left"/>
        <w:rPr>
          <w:rFonts w:ascii="Tele-GroteskEERegular" w:hAnsi="Tele-GroteskEERegular" w:cs="Tahoma"/>
          <w:color w:val="000000"/>
          <w:position w:val="-6"/>
          <w:sz w:val="20"/>
          <w:szCs w:val="20"/>
        </w:rPr>
      </w:pPr>
      <w:r>
        <w:rPr>
          <w:rFonts w:ascii="Tele-GroteskEEBold" w:hAnsi="Tele-GroteskEEBold" w:cs="Tahoma"/>
          <w:sz w:val="20"/>
          <w:szCs w:val="20"/>
        </w:rPr>
        <w:t xml:space="preserve">   </w:t>
      </w:r>
      <w:r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Pr="005D1A9A">
        <w:rPr>
          <w:rFonts w:ascii="Tele-GroteskEEBold" w:hAnsi="Tele-GroteskEEBold" w:cs="Tahoma"/>
          <w:sz w:val="20"/>
          <w:szCs w:val="20"/>
        </w:rPr>
      </w:r>
      <w:r w:rsidRPr="005D1A9A">
        <w:rPr>
          <w:rFonts w:ascii="Tele-GroteskEEBold" w:hAnsi="Tele-GroteskEEBold" w:cs="Tahoma"/>
          <w:sz w:val="20"/>
          <w:szCs w:val="20"/>
        </w:rPr>
        <w:fldChar w:fldCharType="separate"/>
      </w:r>
      <w:bookmarkStart w:id="0" w:name="_GoBack"/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r w:rsidRPr="005D1A9A">
        <w:rPr>
          <w:rFonts w:ascii="Tele-GroteskEEBold" w:hAnsi="Tele-GroteskEEBold" w:cs="Tahoma"/>
          <w:sz w:val="20"/>
          <w:szCs w:val="20"/>
        </w:rPr>
        <w:t> </w:t>
      </w:r>
      <w:bookmarkEnd w:id="0"/>
      <w:r w:rsidRPr="005D1A9A">
        <w:rPr>
          <w:rFonts w:ascii="Tele-GroteskEEBold" w:hAnsi="Tele-GroteskEEBold" w:cs="Tahoma"/>
          <w:sz w:val="20"/>
          <w:szCs w:val="20"/>
        </w:rPr>
        <w:fldChar w:fldCharType="end"/>
      </w:r>
      <w:r>
        <w:rPr>
          <w:rFonts w:ascii="Tele-GroteskEEBold" w:hAnsi="Tele-GroteskEEBold" w:cs="Tahoma"/>
          <w:sz w:val="20"/>
          <w:szCs w:val="20"/>
        </w:rPr>
        <w:t xml:space="preserve">   </w:t>
      </w:r>
      <w:r w:rsidR="00B86036">
        <w:rPr>
          <w:rFonts w:ascii="Tele-GroteskEERegular" w:hAnsi="Tele-GroteskEERegular" w:cs="Tahoma"/>
          <w:b w:val="0"/>
          <w:bCs w:val="0"/>
          <w:color w:val="000000"/>
          <w:position w:val="-6"/>
          <w:sz w:val="20"/>
          <w:szCs w:val="20"/>
        </w:rPr>
        <w:t>názov organizácie</w:t>
      </w:r>
    </w:p>
    <w:p w:rsidR="00B86036" w:rsidRDefault="00B86036" w:rsidP="00B86036">
      <w:pPr>
        <w:pStyle w:val="Oznaitext"/>
        <w:tabs>
          <w:tab w:val="clear" w:pos="360"/>
          <w:tab w:val="left" w:pos="708"/>
        </w:tabs>
        <w:spacing w:line="360" w:lineRule="auto"/>
        <w:ind w:left="0" w:right="46" w:firstLine="0"/>
        <w:jc w:val="left"/>
        <w:rPr>
          <w:rFonts w:ascii="Tele-GroteskEERegular" w:hAnsi="Tele-GroteskEERegular" w:cs="Tahoma"/>
          <w:color w:val="000000"/>
          <w:sz w:val="20"/>
          <w:szCs w:val="20"/>
        </w:rPr>
      </w:pPr>
    </w:p>
    <w:p w:rsidR="00B86036" w:rsidRDefault="00B86036" w:rsidP="00B86036">
      <w:pPr>
        <w:pStyle w:val="Oznaitext"/>
        <w:tabs>
          <w:tab w:val="clear" w:pos="360"/>
          <w:tab w:val="left" w:pos="708"/>
        </w:tabs>
        <w:spacing w:line="360" w:lineRule="auto"/>
        <w:ind w:left="0" w:right="46" w:firstLine="0"/>
        <w:jc w:val="left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Black" w:hAnsi="Tele-GroteskEEBlack" w:cs="Tahoma"/>
          <w:b w:val="0"/>
          <w:color w:val="000000"/>
          <w:sz w:val="20"/>
          <w:szCs w:val="20"/>
        </w:rPr>
        <w:t>s predpismi BOZP v zmysle čl. 5 písm. d) Dohody, konanom dňa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FE4"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="002F1FE4" w:rsidRPr="005D1A9A">
        <w:rPr>
          <w:rFonts w:ascii="Tele-GroteskEEBold" w:hAnsi="Tele-GroteskEEBold" w:cs="Tahoma"/>
          <w:sz w:val="20"/>
          <w:szCs w:val="20"/>
        </w:rPr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separate"/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end"/>
      </w:r>
    </w:p>
    <w:p w:rsidR="00B86036" w:rsidRDefault="00B86036" w:rsidP="00B86036">
      <w:pPr>
        <w:pStyle w:val="Nadpis1"/>
        <w:spacing w:after="240"/>
        <w:ind w:left="284" w:hanging="142"/>
        <w:rPr>
          <w:rFonts w:ascii="Tele-GroteskEEBlack" w:hAnsi="Tele-GroteskEEBlack" w:cs="Tahoma"/>
          <w:color w:val="000000"/>
          <w:spacing w:val="62"/>
          <w:sz w:val="20"/>
          <w:szCs w:val="20"/>
        </w:rPr>
      </w:pPr>
      <w:r>
        <w:rPr>
          <w:rFonts w:ascii="Tele-GroteskEEBlack" w:hAnsi="Tele-GroteskEEBlack" w:cs="Tahoma"/>
          <w:b/>
          <w:color w:val="000000"/>
          <w:spacing w:val="62"/>
          <w:sz w:val="20"/>
          <w:szCs w:val="20"/>
        </w:rPr>
        <w:t>Obsah oboznámenia</w:t>
      </w:r>
    </w:p>
    <w:p w:rsidR="00B86036" w:rsidRDefault="00B86036" w:rsidP="00B86036">
      <w:pPr>
        <w:numPr>
          <w:ilvl w:val="0"/>
          <w:numId w:val="11"/>
        </w:numPr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Smernice pre zaistenie BOZP v ST, Príloha č.6 </w:t>
      </w:r>
      <w:r>
        <w:rPr>
          <w:rFonts w:ascii="Tele-GroteskEERegular" w:hAnsi="Tele-GroteskEERegular" w:cs="Tahoma"/>
          <w:color w:val="000000"/>
          <w:sz w:val="20"/>
          <w:szCs w:val="20"/>
        </w:rPr>
        <w:t>Koordinácia postupu pri zaisťovaní BOZP s externými dodávateľmi</w:t>
      </w:r>
    </w:p>
    <w:p w:rsidR="00B86036" w:rsidRDefault="00B86036" w:rsidP="00B86036">
      <w:pPr>
        <w:numPr>
          <w:ilvl w:val="0"/>
          <w:numId w:val="11"/>
        </w:numPr>
        <w:tabs>
          <w:tab w:val="left" w:pos="648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color w:val="000000"/>
          <w:sz w:val="20"/>
          <w:szCs w:val="20"/>
        </w:rPr>
        <w:t>Zákon NR SR č. 124/2006 Z.z. o bezpečnosti a ochrane zdravia pri práci a o zmene a doplnení niektorých zákonov v znení neskorších predpisov</w:t>
      </w:r>
      <w:r w:rsidR="005A17C4">
        <w:rPr>
          <w:rFonts w:ascii="Tele-GroteskEERegular" w:hAnsi="Tele-GroteskEERegular" w:cs="Tahoma"/>
          <w:color w:val="000000"/>
          <w:sz w:val="20"/>
          <w:szCs w:val="20"/>
        </w:rPr>
        <w:t xml:space="preserve"> - §</w:t>
      </w:r>
      <w:r w:rsidR="005D12DA">
        <w:rPr>
          <w:rFonts w:ascii="Tele-GroteskEERegular" w:hAnsi="Tele-GroteskEERegular" w:cs="Tahoma"/>
          <w:color w:val="000000"/>
          <w:sz w:val="20"/>
          <w:szCs w:val="20"/>
        </w:rPr>
        <w:t xml:space="preserve"> 6,</w:t>
      </w:r>
      <w:r w:rsidR="005A17C4">
        <w:rPr>
          <w:rFonts w:ascii="Tele-GroteskEERegular" w:hAnsi="Tele-GroteskEERegular" w:cs="Tahoma"/>
          <w:color w:val="000000"/>
          <w:sz w:val="20"/>
          <w:szCs w:val="20"/>
        </w:rPr>
        <w:t>18</w:t>
      </w:r>
      <w:r>
        <w:rPr>
          <w:rFonts w:ascii="Tele-GroteskEERegular" w:hAnsi="Tele-GroteskEERegular" w:cs="Tahoma"/>
          <w:color w:val="000000"/>
          <w:sz w:val="20"/>
          <w:szCs w:val="20"/>
        </w:rPr>
        <w:t xml:space="preserve">  </w:t>
      </w:r>
    </w:p>
    <w:p w:rsidR="00B86036" w:rsidRDefault="00B86036" w:rsidP="00B86036">
      <w:pPr>
        <w:numPr>
          <w:ilvl w:val="0"/>
          <w:numId w:val="11"/>
        </w:numPr>
        <w:tabs>
          <w:tab w:val="left" w:pos="648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color w:val="000000"/>
          <w:sz w:val="20"/>
          <w:szCs w:val="20"/>
        </w:rPr>
        <w:t xml:space="preserve">Vyhláška SÚBP č. 208/1991 Zb. o bezpečnosti práce a technických zariadení pri prevádzke,  údržbe  a opravách vozidiel  </w:t>
      </w:r>
    </w:p>
    <w:p w:rsidR="00B86036" w:rsidRDefault="00B86036" w:rsidP="00B86036">
      <w:pPr>
        <w:numPr>
          <w:ilvl w:val="0"/>
          <w:numId w:val="11"/>
        </w:numPr>
        <w:tabs>
          <w:tab w:val="left" w:pos="648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color w:val="000000"/>
          <w:sz w:val="20"/>
          <w:szCs w:val="20"/>
        </w:rPr>
        <w:t xml:space="preserve">Nariadenie vlády SR č. 395/2006 Z. z. </w:t>
      </w:r>
      <w:r>
        <w:rPr>
          <w:rFonts w:ascii="Tele-GroteskEERegular" w:hAnsi="Tele-GroteskEERegular" w:cs="Tahoma"/>
          <w:sz w:val="20"/>
          <w:szCs w:val="20"/>
        </w:rPr>
        <w:t>o minimálnych požiadavkách na poskytovanie a používanie OOPP</w:t>
      </w:r>
      <w:r w:rsidR="006D6633">
        <w:rPr>
          <w:rFonts w:ascii="Tele-GroteskEERegular" w:hAnsi="Tele-GroteskEERegular" w:cs="Tahoma"/>
          <w:sz w:val="20"/>
          <w:szCs w:val="20"/>
        </w:rPr>
        <w:t xml:space="preserve"> </w:t>
      </w:r>
    </w:p>
    <w:p w:rsidR="00B86036" w:rsidRDefault="00B86036" w:rsidP="00B86036">
      <w:pPr>
        <w:numPr>
          <w:ilvl w:val="0"/>
          <w:numId w:val="11"/>
        </w:numPr>
        <w:tabs>
          <w:tab w:val="left" w:pos="648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>Smernice pre zaistenie BOZP v ST, Príloha č.8 Kontroly požitia alkoholu a iných omamných prostriedkov v pôsobnosti ST</w:t>
      </w:r>
    </w:p>
    <w:p w:rsidR="00B86036" w:rsidRDefault="00B86036" w:rsidP="00B86036">
      <w:pPr>
        <w:numPr>
          <w:ilvl w:val="0"/>
          <w:numId w:val="11"/>
        </w:numPr>
        <w:tabs>
          <w:tab w:val="left" w:pos="648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 xml:space="preserve">Vyhláška MPSVR SR č. 508/2009 Z. z., ktorou sa ustanovujú podrobnosti na zaistenie bezpečnosti a ochrany zdravia pri práci s technickými zariadeniami tlakovými, zdvíhacími, elektrickými a plynovými a ktorou sa ustanovujú technické zariadenia, ktoré sa považujú za vyhradené technické zariadenia v znení neskorších predpisov - </w:t>
      </w:r>
      <w:r>
        <w:rPr>
          <w:rFonts w:ascii="Tele-GroteskEERegular" w:hAnsi="Tele-GroteskEERegular" w:cs="Tahoma"/>
          <w:color w:val="000000"/>
          <w:sz w:val="20"/>
          <w:szCs w:val="20"/>
        </w:rPr>
        <w:t>”Dodatok k STN 34 3100”</w:t>
      </w:r>
    </w:p>
    <w:p w:rsidR="00B86036" w:rsidRDefault="00B86036" w:rsidP="00B86036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color w:val="000000"/>
          <w:sz w:val="20"/>
          <w:szCs w:val="20"/>
        </w:rPr>
        <w:t>Upozornenie na miestne podmienky bezpečného pracovného výkonu a na vyskytujúce sa riziká</w:t>
      </w:r>
    </w:p>
    <w:p w:rsidR="00B86036" w:rsidRPr="00B86036" w:rsidRDefault="00B86036" w:rsidP="00B86036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>Vyhláška MPSVR SR č.147/2013 Z.z., 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="006D6633">
        <w:rPr>
          <w:rFonts w:ascii="Tele-GroteskEERegular" w:hAnsi="Tele-GroteskEERegular" w:cs="Tahoma"/>
          <w:sz w:val="20"/>
          <w:szCs w:val="20"/>
        </w:rPr>
        <w:t xml:space="preserve"> </w:t>
      </w:r>
    </w:p>
    <w:p w:rsidR="00B86036" w:rsidRPr="00B86036" w:rsidRDefault="00B86036" w:rsidP="00B86036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40" w:lineRule="exact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  <w:r>
        <w:rPr>
          <w:rFonts w:ascii="Tele-GroteskEERegular" w:hAnsi="Tele-GroteskEERegular" w:cs="Tahoma"/>
          <w:sz w:val="20"/>
          <w:szCs w:val="20"/>
        </w:rPr>
        <w:t>Usmernenie pre bezpečný pracovný postup pre práce vykonávané vo výškach v ST</w:t>
      </w:r>
    </w:p>
    <w:p w:rsidR="00B86036" w:rsidRDefault="00B86036" w:rsidP="00B86036">
      <w:pPr>
        <w:tabs>
          <w:tab w:val="left" w:pos="993"/>
        </w:tabs>
        <w:autoSpaceDE w:val="0"/>
        <w:autoSpaceDN w:val="0"/>
        <w:spacing w:line="240" w:lineRule="exact"/>
        <w:ind w:left="360"/>
        <w:jc w:val="both"/>
        <w:rPr>
          <w:rFonts w:ascii="Tele-GroteskEERegular" w:hAnsi="Tele-GroteskEERegular" w:cs="Tahoma"/>
          <w:color w:val="000000"/>
          <w:sz w:val="20"/>
          <w:szCs w:val="20"/>
        </w:rPr>
      </w:pPr>
    </w:p>
    <w:p w:rsidR="00B86036" w:rsidRDefault="00B86036" w:rsidP="00B86036">
      <w:pPr>
        <w:pStyle w:val="Zarkazkladnhotextu"/>
        <w:tabs>
          <w:tab w:val="left" w:pos="0"/>
        </w:tabs>
        <w:spacing w:before="120" w:line="120" w:lineRule="atLeast"/>
        <w:ind w:left="0" w:firstLine="0"/>
        <w:jc w:val="left"/>
        <w:rPr>
          <w:rFonts w:ascii="Tele-GroteskEEBlack" w:hAnsi="Tele-GroteskEEBlack" w:cs="Tahoma"/>
          <w:bCs/>
          <w:color w:val="000000"/>
          <w:sz w:val="20"/>
          <w:szCs w:val="20"/>
        </w:rPr>
      </w:pPr>
      <w:r>
        <w:rPr>
          <w:rFonts w:ascii="Tele-GroteskEEBlack" w:hAnsi="Tele-GroteskEEBlack" w:cs="Tahoma"/>
          <w:bCs/>
          <w:color w:val="000000"/>
          <w:sz w:val="20"/>
          <w:szCs w:val="20"/>
        </w:rPr>
        <w:t>Nižšie oboznámený zamestnanec/zástupca dodávateľa (subdodávateľa) dosiahol odbornú spôsobilosť podľa vyhlášky MPSVR SR č</w:t>
      </w:r>
      <w:r>
        <w:rPr>
          <w:rFonts w:ascii="Tele-GroteskEEBlack" w:hAnsi="Tele-GroteskEEBlack" w:cs="Tahoma"/>
          <w:bCs/>
          <w:sz w:val="20"/>
          <w:szCs w:val="20"/>
        </w:rPr>
        <w:t>. 508/2009 Z.</w:t>
      </w:r>
      <w:r>
        <w:rPr>
          <w:rFonts w:ascii="Tele-GroteskEEBlack" w:hAnsi="Tele-GroteskEEBlack" w:cs="Tahoma"/>
          <w:bCs/>
          <w:color w:val="000000"/>
          <w:sz w:val="20"/>
          <w:szCs w:val="20"/>
        </w:rPr>
        <w:t>z., § 20 v nadväznosti na § 19 písm. a) - poučená osoba.</w:t>
      </w:r>
    </w:p>
    <w:p w:rsidR="00B86036" w:rsidRDefault="00B86036" w:rsidP="00B86036">
      <w:pPr>
        <w:pStyle w:val="Zkladntext"/>
        <w:rPr>
          <w:rFonts w:ascii="Tele-GroteskEERegular" w:hAnsi="Tele-GroteskEERegular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1391"/>
        <w:gridCol w:w="1556"/>
        <w:gridCol w:w="1556"/>
        <w:gridCol w:w="2409"/>
      </w:tblGrid>
      <w:tr w:rsidR="00B86036" w:rsidTr="00B86036">
        <w:trPr>
          <w:trHeight w:val="1025"/>
          <w:jc w:val="center"/>
        </w:trPr>
        <w:tc>
          <w:tcPr>
            <w:tcW w:w="1924" w:type="dxa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6" w:space="0" w:color="000000"/>
            </w:tcBorders>
            <w:vAlign w:val="center"/>
            <w:hideMark/>
          </w:tcPr>
          <w:p w:rsidR="00B86036" w:rsidRDefault="00B86036">
            <w:pPr>
              <w:spacing w:line="240" w:lineRule="atLeast"/>
              <w:ind w:hanging="74"/>
              <w:jc w:val="center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  <w:r>
              <w:rPr>
                <w:rFonts w:ascii="Tele-GroteskEERegular" w:hAnsi="Tele-GroteskEERegular" w:cs="Tahoma"/>
                <w:color w:val="000000"/>
                <w:sz w:val="20"/>
                <w:szCs w:val="20"/>
              </w:rPr>
              <w:t>Meno zamestnanca *)zástupcu dodávateľa (subdodávateľa)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  <w:hideMark/>
          </w:tcPr>
          <w:p w:rsidR="00B86036" w:rsidRDefault="00B86036">
            <w:pPr>
              <w:ind w:hanging="72"/>
              <w:jc w:val="center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  <w:r>
              <w:rPr>
                <w:rFonts w:ascii="Tele-GroteskEERegular" w:hAnsi="Tele-GroteskEERegular" w:cs="Tahoma"/>
                <w:color w:val="000000"/>
                <w:sz w:val="20"/>
                <w:szCs w:val="20"/>
              </w:rPr>
              <w:t>Dátum narodenia</w:t>
            </w:r>
          </w:p>
        </w:tc>
        <w:tc>
          <w:tcPr>
            <w:tcW w:w="1556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  <w:hideMark/>
          </w:tcPr>
          <w:p w:rsidR="00B86036" w:rsidRDefault="00B86036">
            <w:pPr>
              <w:pStyle w:val="Nadpis2"/>
              <w:spacing w:before="0"/>
              <w:jc w:val="center"/>
              <w:rPr>
                <w:rFonts w:ascii="Tele-GroteskEERegular" w:hAnsi="Tele-GroteskEERegular" w:cs="Tahoma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ele-GroteskEERegular" w:hAnsi="Tele-GroteskEERegular" w:cs="Tahoma"/>
                <w:b/>
                <w:bCs w:val="0"/>
                <w:i/>
                <w:iCs w:val="0"/>
                <w:color w:val="000000"/>
                <w:sz w:val="20"/>
                <w:szCs w:val="20"/>
              </w:rPr>
              <w:t>Organizácia</w:t>
            </w:r>
          </w:p>
        </w:tc>
        <w:tc>
          <w:tcPr>
            <w:tcW w:w="1556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  <w:hideMark/>
          </w:tcPr>
          <w:p w:rsidR="00B86036" w:rsidRDefault="00B86036">
            <w:pPr>
              <w:pStyle w:val="Nadpis2"/>
              <w:spacing w:before="0"/>
              <w:jc w:val="center"/>
              <w:rPr>
                <w:rFonts w:ascii="Tele-GroteskEERegular" w:hAnsi="Tele-GroteskEERegular" w:cs="Tahoma"/>
                <w:b/>
                <w:bCs w:val="0"/>
                <w:i/>
                <w:iCs w:val="0"/>
                <w:color w:val="000000"/>
                <w:sz w:val="20"/>
                <w:szCs w:val="20"/>
              </w:rPr>
            </w:pPr>
            <w:r>
              <w:rPr>
                <w:rFonts w:ascii="Tele-GroteskEERegular" w:hAnsi="Tele-GroteskEERegular" w:cs="Tahoma"/>
                <w:b/>
                <w:bCs w:val="0"/>
                <w:i/>
                <w:iCs w:val="0"/>
                <w:color w:val="000000"/>
                <w:sz w:val="20"/>
                <w:szCs w:val="20"/>
              </w:rPr>
              <w:t>Funkcia</w:t>
            </w:r>
          </w:p>
        </w:tc>
        <w:tc>
          <w:tcPr>
            <w:tcW w:w="2404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18" w:space="0" w:color="000000"/>
            </w:tcBorders>
            <w:vAlign w:val="center"/>
            <w:hideMark/>
          </w:tcPr>
          <w:p w:rsidR="00B86036" w:rsidRDefault="00B86036">
            <w:pPr>
              <w:pStyle w:val="Nadpis3"/>
              <w:spacing w:before="0" w:after="0"/>
              <w:jc w:val="center"/>
              <w:rPr>
                <w:rFonts w:ascii="Tele-GroteskEERegular" w:hAnsi="Tele-GroteskEERegular" w:cs="Tahoma"/>
                <w:b/>
                <w:color w:val="000000"/>
                <w:sz w:val="20"/>
                <w:szCs w:val="20"/>
              </w:rPr>
            </w:pPr>
            <w:r>
              <w:rPr>
                <w:rFonts w:ascii="Tele-GroteskEERegular" w:hAnsi="Tele-GroteskEERegular" w:cs="Tahoma"/>
                <w:b/>
                <w:color w:val="000000"/>
                <w:sz w:val="20"/>
                <w:szCs w:val="20"/>
              </w:rPr>
              <w:t>Podpis oboznámeného</w:t>
            </w:r>
          </w:p>
        </w:tc>
      </w:tr>
      <w:tr w:rsidR="00B86036" w:rsidTr="00B86036">
        <w:trPr>
          <w:trHeight w:val="460"/>
          <w:jc w:val="center"/>
        </w:trPr>
        <w:tc>
          <w:tcPr>
            <w:tcW w:w="1924" w:type="dxa"/>
            <w:tcBorders>
              <w:top w:val="doub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hanging="72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left="284" w:hanging="142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hanging="76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hanging="76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86036" w:rsidRDefault="00B86036">
            <w:pPr>
              <w:spacing w:line="240" w:lineRule="atLeast"/>
              <w:ind w:hanging="73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</w:tr>
      <w:tr w:rsidR="00B86036" w:rsidTr="00B86036">
        <w:trPr>
          <w:trHeight w:val="460"/>
          <w:jc w:val="center"/>
        </w:trPr>
        <w:tc>
          <w:tcPr>
            <w:tcW w:w="192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hanging="72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left="284" w:hanging="142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hanging="76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86036" w:rsidRDefault="00B86036">
            <w:pPr>
              <w:spacing w:line="240" w:lineRule="atLeast"/>
              <w:ind w:hanging="76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B86036" w:rsidRDefault="00B86036">
            <w:pPr>
              <w:spacing w:line="240" w:lineRule="atLeast"/>
              <w:ind w:hanging="73"/>
              <w:rPr>
                <w:rFonts w:ascii="Tele-GroteskEERegular" w:hAnsi="Tele-GroteskEERegular" w:cs="Tahoma"/>
                <w:color w:val="000000"/>
                <w:sz w:val="20"/>
                <w:szCs w:val="20"/>
              </w:rPr>
            </w:pPr>
          </w:p>
        </w:tc>
      </w:tr>
    </w:tbl>
    <w:p w:rsidR="00B86036" w:rsidRDefault="00B86036" w:rsidP="00B86036">
      <w:pPr>
        <w:spacing w:before="240" w:line="400" w:lineRule="atLeast"/>
        <w:ind w:right="-238"/>
        <w:rPr>
          <w:rFonts w:ascii="Tele-GroteskEERegular" w:hAnsi="Tele-GroteskEERegular" w:cs="Tahoma"/>
          <w:color w:val="000000"/>
          <w:position w:val="-6"/>
          <w:sz w:val="20"/>
          <w:szCs w:val="20"/>
        </w:rPr>
      </w:pPr>
      <w:r>
        <w:rPr>
          <w:rFonts w:ascii="Tele-GroteskEERegular" w:hAnsi="Tele-GroteskEERegular" w:cs="Tahoma"/>
          <w:color w:val="000000"/>
          <w:sz w:val="20"/>
          <w:szCs w:val="20"/>
        </w:rPr>
        <w:t>Meno a podpis zamestnanca ST, ktorý oboznámenie vykonal:</w:t>
      </w:r>
      <w:r w:rsidR="002F1FE4" w:rsidRPr="002F1FE4">
        <w:rPr>
          <w:rFonts w:ascii="Tele-GroteskEEBold" w:hAnsi="Tele-GroteskEEBold" w:cs="Tahoma"/>
          <w:sz w:val="20"/>
          <w:szCs w:val="20"/>
        </w:rPr>
        <w:t xml:space="preserve"> 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FE4" w:rsidRPr="005D1A9A">
        <w:rPr>
          <w:rFonts w:ascii="Tele-GroteskEEBold" w:hAnsi="Tele-GroteskEEBold" w:cs="Tahoma"/>
          <w:sz w:val="20"/>
          <w:szCs w:val="20"/>
        </w:rPr>
        <w:instrText xml:space="preserve"> FORMTEXT </w:instrText>
      </w:r>
      <w:r w:rsidR="002F1FE4" w:rsidRPr="005D1A9A">
        <w:rPr>
          <w:rFonts w:ascii="Tele-GroteskEEBold" w:hAnsi="Tele-GroteskEEBold" w:cs="Tahoma"/>
          <w:sz w:val="20"/>
          <w:szCs w:val="20"/>
        </w:rPr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separate"/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t> </w:t>
      </w:r>
      <w:r w:rsidR="002F1FE4" w:rsidRPr="005D1A9A">
        <w:rPr>
          <w:rFonts w:ascii="Tele-GroteskEEBold" w:hAnsi="Tele-GroteskEEBold" w:cs="Tahoma"/>
          <w:sz w:val="20"/>
          <w:szCs w:val="20"/>
        </w:rPr>
        <w:fldChar w:fldCharType="end"/>
      </w:r>
    </w:p>
    <w:p w:rsidR="00B86036" w:rsidRDefault="00B86036" w:rsidP="00B86036">
      <w:pPr>
        <w:pStyle w:val="Nadpis4"/>
        <w:spacing w:before="120"/>
        <w:ind w:right="1"/>
        <w:rPr>
          <w:rFonts w:ascii="Tele-GroteskEERegular" w:hAnsi="Tele-GroteskEERegular" w:cs="Tahoma"/>
          <w:b/>
          <w:bCs w:val="0"/>
          <w:color w:val="000000"/>
          <w:sz w:val="20"/>
          <w:szCs w:val="20"/>
        </w:rPr>
      </w:pPr>
      <w:r>
        <w:rPr>
          <w:rFonts w:ascii="Tele-GroteskEERegular" w:hAnsi="Tele-GroteskEERegular" w:cs="Tahoma"/>
          <w:b/>
          <w:bCs w:val="0"/>
          <w:color w:val="000000"/>
          <w:sz w:val="20"/>
          <w:szCs w:val="20"/>
        </w:rPr>
        <w:t>*) Ak sa často menia zamestnanci dodávateľa (subdodávateľa) zástupcovia dodávateľa (subdodávateľa) sú povinní pred začatím prác absolvovať v ST inštruktáž, ktorej cieľom je zaistiť bezpečnosť zamestnancov dodávateľa (subdodávateľa) a ST. Zástupca dodávateľa (subdodávateľa) je povinný zaistiť, aby zásady stanovené v priebehu inštruktáže boli preukázateľne prenesené na jeho zamestnancov.</w:t>
      </w:r>
    </w:p>
    <w:p w:rsidR="00B86036" w:rsidRDefault="00B86036" w:rsidP="00B86036">
      <w:pPr>
        <w:rPr>
          <w:rFonts w:ascii="Tele-GroteskEERegular" w:hAnsi="Tele-GroteskEERegular"/>
          <w:sz w:val="20"/>
          <w:szCs w:val="20"/>
        </w:rPr>
      </w:pPr>
    </w:p>
    <w:sectPr w:rsidR="00B86036" w:rsidSect="00713E8D">
      <w:headerReference w:type="default" r:id="rId7"/>
      <w:pgSz w:w="11907" w:h="16840" w:code="9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E6" w:rsidRDefault="002443E6" w:rsidP="00B86036">
      <w:r>
        <w:separator/>
      </w:r>
    </w:p>
  </w:endnote>
  <w:endnote w:type="continuationSeparator" w:id="0">
    <w:p w:rsidR="002443E6" w:rsidRDefault="002443E6" w:rsidP="00B8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Fet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le-AntiquaEE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No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le-GroteskEEBlack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EERegula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EEBold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E6" w:rsidRDefault="002443E6" w:rsidP="00B86036">
      <w:r>
        <w:separator/>
      </w:r>
    </w:p>
  </w:footnote>
  <w:footnote w:type="continuationSeparator" w:id="0">
    <w:p w:rsidR="002443E6" w:rsidRDefault="002443E6" w:rsidP="00B8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36" w:rsidRDefault="00B86036">
    <w:pPr>
      <w:pStyle w:val="Hlavika"/>
    </w:pPr>
    <w:r>
      <w:t xml:space="preserve">Príloha </w:t>
    </w:r>
    <w:r w:rsidR="005A17C4">
      <w:t xml:space="preserve">č.  </w:t>
    </w:r>
    <w:r w:rsidR="00DE4F5D">
      <w:t>5</w:t>
    </w:r>
    <w:r w:rsidR="005A17C4">
      <w:t xml:space="preserve">   </w:t>
    </w:r>
    <w:r>
      <w:t>k</w:t>
    </w:r>
    <w:r w:rsidR="005A17C4">
      <w:t> Z</w:t>
    </w:r>
    <w:r>
      <w:t>mluve</w:t>
    </w:r>
    <w:r w:rsidR="005A17C4">
      <w:t xml:space="preserve"> o Prenájme stĺpov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65E0"/>
    <w:multiLevelType w:val="multilevel"/>
    <w:tmpl w:val="B7E8C77C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9B14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257301"/>
    <w:multiLevelType w:val="hybridMultilevel"/>
    <w:tmpl w:val="8D4E75A6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68C"/>
    <w:multiLevelType w:val="hybridMultilevel"/>
    <w:tmpl w:val="60E0E6D2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A257A"/>
    <w:multiLevelType w:val="hybridMultilevel"/>
    <w:tmpl w:val="F1F61CBA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68B"/>
    <w:multiLevelType w:val="multilevel"/>
    <w:tmpl w:val="60E0E6D2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5C8D"/>
    <w:multiLevelType w:val="multilevel"/>
    <w:tmpl w:val="D21CFF8E"/>
    <w:numStyleLink w:val="Vcerovov"/>
  </w:abstractNum>
  <w:abstractNum w:abstractNumId="7" w15:restartNumberingAfterBreak="0">
    <w:nsid w:val="51E3313A"/>
    <w:multiLevelType w:val="singleLevel"/>
    <w:tmpl w:val="41EC83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9" w15:restartNumberingAfterBreak="0">
    <w:nsid w:val="628E396F"/>
    <w:multiLevelType w:val="singleLevel"/>
    <w:tmpl w:val="4D16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</w:abstractNum>
  <w:abstractNum w:abstractNumId="10" w15:restartNumberingAfterBreak="0">
    <w:nsid w:val="7771000B"/>
    <w:multiLevelType w:val="hybridMultilevel"/>
    <w:tmpl w:val="C48E2A7E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/CGy9iCzfGq56N1sEkDv3Xj8IUSL+YrK1OH2/DyTm3gIlucGOABcG0JNAUiJZ5eG4nST501ym1KxjJ8cPibbg==" w:salt="pfKSEB9XIbDmhAaJrvBJG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36"/>
    <w:rsid w:val="000F438E"/>
    <w:rsid w:val="001A42D1"/>
    <w:rsid w:val="001D6C92"/>
    <w:rsid w:val="001F1670"/>
    <w:rsid w:val="002443E6"/>
    <w:rsid w:val="0025371D"/>
    <w:rsid w:val="002B1BAA"/>
    <w:rsid w:val="002F1FE4"/>
    <w:rsid w:val="004B6527"/>
    <w:rsid w:val="0051284C"/>
    <w:rsid w:val="005560DC"/>
    <w:rsid w:val="005A17C4"/>
    <w:rsid w:val="005D12DA"/>
    <w:rsid w:val="005F7BC3"/>
    <w:rsid w:val="00622225"/>
    <w:rsid w:val="006D6633"/>
    <w:rsid w:val="0071246B"/>
    <w:rsid w:val="00713E8D"/>
    <w:rsid w:val="00754DCB"/>
    <w:rsid w:val="00891445"/>
    <w:rsid w:val="008D34AC"/>
    <w:rsid w:val="008D5E61"/>
    <w:rsid w:val="008D69B4"/>
    <w:rsid w:val="00963AF3"/>
    <w:rsid w:val="00992677"/>
    <w:rsid w:val="00AC150F"/>
    <w:rsid w:val="00B86036"/>
    <w:rsid w:val="00BE6545"/>
    <w:rsid w:val="00C11D1C"/>
    <w:rsid w:val="00DE334C"/>
    <w:rsid w:val="00DE4F5D"/>
    <w:rsid w:val="00E40A5C"/>
    <w:rsid w:val="00E81D05"/>
    <w:rsid w:val="00F404CA"/>
    <w:rsid w:val="00FD0A06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D702-FE7D-46F0-8081-94F40DE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036"/>
    <w:rPr>
      <w:rFonts w:ascii="Tahoma" w:hAnsi="Tahoma"/>
      <w:sz w:val="18"/>
      <w:szCs w:val="18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FD0A06"/>
    <w:pPr>
      <w:keepNext/>
      <w:spacing w:before="240" w:after="60"/>
      <w:outlineLvl w:val="0"/>
    </w:pPr>
    <w:rPr>
      <w:rFonts w:ascii="Tele-GroteskFet" w:hAnsi="Tele-GroteskFet" w:cs="Arial"/>
      <w:bCs/>
      <w:kern w:val="32"/>
      <w:sz w:val="40"/>
      <w:szCs w:val="32"/>
    </w:rPr>
  </w:style>
  <w:style w:type="paragraph" w:styleId="Nadpis2">
    <w:name w:val="heading 2"/>
    <w:basedOn w:val="Normlny"/>
    <w:next w:val="Normlny"/>
    <w:link w:val="Nadpis2Char"/>
    <w:qFormat/>
    <w:rsid w:val="00FD0A06"/>
    <w:pPr>
      <w:keepNext/>
      <w:spacing w:before="240" w:after="60"/>
      <w:outlineLvl w:val="1"/>
    </w:pPr>
    <w:rPr>
      <w:rFonts w:ascii="Tele-GroteskFet" w:hAnsi="Tele-GroteskFet" w:cs="Arial"/>
      <w:bCs/>
      <w:iCs/>
      <w:sz w:val="32"/>
      <w:szCs w:val="28"/>
    </w:rPr>
  </w:style>
  <w:style w:type="paragraph" w:styleId="Nadpis3">
    <w:name w:val="heading 3"/>
    <w:basedOn w:val="Normlny"/>
    <w:next w:val="Normlny"/>
    <w:link w:val="Nadpis3Char"/>
    <w:qFormat/>
    <w:rsid w:val="00FD0A06"/>
    <w:pPr>
      <w:keepNext/>
      <w:spacing w:before="240" w:after="60"/>
      <w:outlineLvl w:val="2"/>
    </w:pPr>
    <w:rPr>
      <w:rFonts w:ascii="Tele-GroteskFet" w:hAnsi="Tele-GroteskFet" w:cs="Arial"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86036"/>
    <w:pPr>
      <w:keepNext/>
      <w:outlineLvl w:val="3"/>
    </w:pPr>
    <w:rPr>
      <w:rFonts w:ascii="Tele-AntiquaEE" w:hAnsi="Tele-AntiquaEE"/>
      <w:bCs/>
      <w:sz w:val="40"/>
      <w:szCs w:val="3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Vcerovov">
    <w:name w:val="Víceúrovňové"/>
    <w:basedOn w:val="Bezzoznamu"/>
    <w:rsid w:val="001F1670"/>
    <w:pPr>
      <w:numPr>
        <w:numId w:val="8"/>
      </w:numPr>
    </w:pPr>
  </w:style>
  <w:style w:type="paragraph" w:styleId="Bezriadkovania">
    <w:name w:val="No Spacing"/>
    <w:uiPriority w:val="1"/>
    <w:qFormat/>
    <w:rsid w:val="00FD0A06"/>
    <w:rPr>
      <w:rFonts w:ascii="Tele-GroteskNor" w:hAnsi="Tele-GroteskNor"/>
      <w:szCs w:val="24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0A06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FD0A06"/>
    <w:rPr>
      <w:rFonts w:ascii="Tele-GroteskNor" w:eastAsia="Times New Roman" w:hAnsi="Tele-GroteskNor" w:cs="Times New Roman"/>
      <w:i/>
      <w:iCs/>
      <w:color w:val="4F81BD"/>
      <w:spacing w:val="15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qFormat/>
    <w:rsid w:val="00FD0A06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FD0A06"/>
    <w:rPr>
      <w:rFonts w:ascii="Tele-GroteskNor" w:eastAsia="Times New Roman" w:hAnsi="Tele-GroteskNor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4Char">
    <w:name w:val="Nadpis 4 Char"/>
    <w:basedOn w:val="Predvolenpsmoodseku"/>
    <w:link w:val="Nadpis4"/>
    <w:semiHidden/>
    <w:rsid w:val="00B86036"/>
    <w:rPr>
      <w:rFonts w:ascii="Tele-AntiquaEE" w:hAnsi="Tele-AntiquaEE"/>
      <w:bCs/>
      <w:sz w:val="40"/>
      <w:szCs w:val="38"/>
      <w:lang w:eastAsia="en-US"/>
    </w:rPr>
  </w:style>
  <w:style w:type="character" w:customStyle="1" w:styleId="Nadpis1Char">
    <w:name w:val="Nadpis 1 Char"/>
    <w:basedOn w:val="Predvolenpsmoodseku"/>
    <w:link w:val="Nadpis1"/>
    <w:rsid w:val="00B86036"/>
    <w:rPr>
      <w:rFonts w:ascii="Tele-GroteskFet" w:hAnsi="Tele-GroteskFet" w:cs="Arial"/>
      <w:bCs/>
      <w:kern w:val="32"/>
      <w:sz w:val="40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B86036"/>
    <w:rPr>
      <w:rFonts w:ascii="Tele-GroteskFet" w:hAnsi="Tele-GroteskFet" w:cs="Arial"/>
      <w:bCs/>
      <w:iCs/>
      <w:sz w:val="32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B86036"/>
    <w:rPr>
      <w:rFonts w:ascii="Tele-GroteskFet" w:hAnsi="Tele-GroteskFet" w:cs="Arial"/>
      <w:bCs/>
      <w:sz w:val="24"/>
      <w:szCs w:val="26"/>
      <w:lang w:eastAsia="en-US"/>
    </w:rPr>
  </w:style>
  <w:style w:type="paragraph" w:styleId="Zkladntext">
    <w:name w:val="Body Text"/>
    <w:basedOn w:val="Normlny"/>
    <w:link w:val="ZkladntextChar"/>
    <w:semiHidden/>
    <w:unhideWhenUsed/>
    <w:rsid w:val="00B860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B86036"/>
    <w:rPr>
      <w:rFonts w:ascii="Tahoma" w:hAnsi="Tahoma"/>
      <w:sz w:val="18"/>
      <w:szCs w:val="18"/>
      <w:lang w:eastAsia="en-US"/>
    </w:rPr>
  </w:style>
  <w:style w:type="paragraph" w:styleId="Zarkazkladnhotextu">
    <w:name w:val="Body Text Indent"/>
    <w:basedOn w:val="Normlny"/>
    <w:link w:val="ZarkazkladnhotextuChar"/>
    <w:semiHidden/>
    <w:unhideWhenUsed/>
    <w:rsid w:val="00B86036"/>
    <w:pPr>
      <w:tabs>
        <w:tab w:val="left" w:pos="360"/>
      </w:tabs>
      <w:autoSpaceDE w:val="0"/>
      <w:autoSpaceDN w:val="0"/>
      <w:ind w:left="426" w:hanging="42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86036"/>
    <w:rPr>
      <w:sz w:val="24"/>
      <w:szCs w:val="24"/>
    </w:rPr>
  </w:style>
  <w:style w:type="paragraph" w:styleId="Oznaitext">
    <w:name w:val="Block Text"/>
    <w:basedOn w:val="Normlny"/>
    <w:semiHidden/>
    <w:unhideWhenUsed/>
    <w:rsid w:val="00B86036"/>
    <w:pPr>
      <w:tabs>
        <w:tab w:val="left" w:pos="360"/>
        <w:tab w:val="left" w:pos="6521"/>
      </w:tabs>
      <w:autoSpaceDE w:val="0"/>
      <w:autoSpaceDN w:val="0"/>
      <w:ind w:left="284" w:right="2217" w:hanging="284"/>
      <w:jc w:val="both"/>
    </w:pPr>
    <w:rPr>
      <w:rFonts w:ascii="Times New Roman" w:hAnsi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0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6036"/>
    <w:rPr>
      <w:rFonts w:ascii="Tahoma" w:hAnsi="Tahoma"/>
      <w:sz w:val="18"/>
      <w:szCs w:val="1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860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6036"/>
    <w:rPr>
      <w:rFonts w:ascii="Tahoma" w:hAnsi="Tahoma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6545"/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65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Telekom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Lucanova Edita</dc:creator>
  <cp:keywords/>
  <dc:description/>
  <cp:lastModifiedBy>Hlinka Jozef</cp:lastModifiedBy>
  <cp:revision>17</cp:revision>
  <dcterms:created xsi:type="dcterms:W3CDTF">2019-02-27T12:02:00Z</dcterms:created>
  <dcterms:modified xsi:type="dcterms:W3CDTF">2019-06-19T09:08:00Z</dcterms:modified>
</cp:coreProperties>
</file>